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德阳市残联</w:t>
      </w:r>
      <w:r>
        <w:rPr>
          <w:rFonts w:ascii="方正小标宋简体" w:hAnsi="宋体" w:eastAsia="方正小标宋简体"/>
          <w:color w:val="000000"/>
          <w:sz w:val="44"/>
          <w:szCs w:val="44"/>
        </w:rPr>
        <w:t>201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年公开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选调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事业单位工作人员岗位需求表</w:t>
      </w:r>
    </w:p>
    <w:tbl>
      <w:tblPr>
        <w:tblStyle w:val="5"/>
        <w:tblpPr w:leftFromText="180" w:rightFromText="180" w:vertAnchor="text" w:horzAnchor="margin" w:tblpXSpec="center" w:tblpY="18"/>
        <w:tblOverlap w:val="never"/>
        <w:tblW w:w="13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18"/>
        <w:gridCol w:w="2250"/>
        <w:gridCol w:w="705"/>
        <w:gridCol w:w="7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55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主管部门</w:t>
            </w:r>
          </w:p>
        </w:tc>
        <w:tc>
          <w:tcPr>
            <w:tcW w:w="181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招聘单位</w:t>
            </w:r>
          </w:p>
        </w:tc>
        <w:tc>
          <w:tcPr>
            <w:tcW w:w="225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  <w:lang w:val="en-US" w:eastAsia="zh-CN"/>
              </w:rPr>
              <w:t>选调人员</w:t>
            </w: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类别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名额</w:t>
            </w:r>
          </w:p>
        </w:tc>
        <w:tc>
          <w:tcPr>
            <w:tcW w:w="749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岗位</w:t>
            </w:r>
            <w:r>
              <w:rPr>
                <w:rFonts w:ascii="仿宋_GB2312" w:hAnsi="宋体" w:eastAsia="仿宋_GB2312" w:cs="宋体"/>
                <w:b/>
                <w:sz w:val="30"/>
                <w:szCs w:val="30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55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</w:p>
        </w:tc>
        <w:tc>
          <w:tcPr>
            <w:tcW w:w="749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学历及</w:t>
            </w: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  <w:lang w:val="en-US" w:eastAsia="zh-CN"/>
              </w:rPr>
              <w:t>工作经历</w:t>
            </w: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要求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bookmarkStart w:id="0" w:name="_Hlk402535012"/>
            <w:r>
              <w:rPr>
                <w:rFonts w:hint="eastAsia" w:ascii="仿宋_GB2312" w:hAnsi="宋体" w:eastAsia="仿宋_GB2312"/>
                <w:sz w:val="30"/>
                <w:szCs w:val="30"/>
              </w:rPr>
              <w:t>德阳市残疾人联合会</w:t>
            </w:r>
          </w:p>
        </w:tc>
        <w:tc>
          <w:tcPr>
            <w:tcW w:w="18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德阳市残疾人综合服务中心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德阳市6县（市、区）事业单位符合平行流动和顺向流动流向的专业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技术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九级或十级岗位工作人员</w:t>
            </w: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97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eastAsia="仿宋_GB2312" w:cs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0"/>
                <w:szCs w:val="30"/>
              </w:rPr>
              <w:t>1</w:t>
            </w:r>
            <w:r>
              <w:rPr>
                <w:rFonts w:ascii="仿宋_GB2312" w:hAnsi="宋体" w:eastAsia="仿宋_GB2312" w:cs="宋体"/>
                <w:color w:val="auto"/>
                <w:sz w:val="30"/>
                <w:szCs w:val="30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sz w:val="30"/>
                <w:szCs w:val="30"/>
                <w:lang w:val="en-US" w:eastAsia="zh-CN"/>
              </w:rPr>
              <w:t>本科学历和学士及以上学位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ascii="仿宋_GB2312" w:hAnsi="宋体" w:eastAsia="仿宋_GB2312" w:cs="宋体"/>
                <w:color w:val="auto"/>
                <w:sz w:val="30"/>
                <w:szCs w:val="30"/>
              </w:rPr>
              <w:t>2.</w:t>
            </w:r>
            <w:r>
              <w:rPr>
                <w:rFonts w:hint="eastAsia" w:ascii="仿宋_GB2312" w:hAnsi="宋体" w:eastAsia="仿宋_GB2312" w:cs="宋体"/>
                <w:color w:val="auto"/>
                <w:sz w:val="30"/>
                <w:szCs w:val="30"/>
                <w:lang w:val="en-US" w:eastAsia="zh-CN"/>
              </w:rPr>
              <w:t>具有2年及以上基层工作经历且连续2年年度考核为合格以上，具备在教育系统从事一线教学工作的经历。3.思政教育工作经历者同等条件下优先考虑</w:t>
            </w:r>
            <w:bookmarkStart w:id="1" w:name="_GoBack"/>
            <w:bookmarkEnd w:id="1"/>
            <w:r>
              <w:rPr>
                <w:rFonts w:hint="eastAsia" w:ascii="仿宋_GB2312" w:hAnsi="宋体" w:eastAsia="仿宋_GB2312" w:cs="宋体"/>
                <w:color w:val="auto"/>
                <w:sz w:val="30"/>
                <w:szCs w:val="30"/>
                <w:lang w:val="en-US"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hint="default" w:ascii="仿宋_GB2312" w:hAnsi="宋体" w:eastAsia="仿宋_GB2312" w:cs="宋体"/>
                <w:color w:val="auto"/>
                <w:sz w:val="30"/>
                <w:szCs w:val="30"/>
                <w:lang w:val="en-US" w:eastAsia="zh-CN"/>
              </w:rPr>
            </w:pPr>
          </w:p>
        </w:tc>
      </w:tr>
      <w:bookmarkEnd w:id="0"/>
    </w:tbl>
    <w:p>
      <w:pPr>
        <w:ind w:left="562" w:hanging="562" w:hangingChars="20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注：1.基层工作经历指具有在县级以下党政机关、国有企事业单位、村（社区）组织及其他经济组织、社会组织等工作的经历。</w:t>
      </w:r>
    </w:p>
    <w:p>
      <w:pPr>
        <w:numPr>
          <w:ilvl w:val="0"/>
          <w:numId w:val="1"/>
        </w:numPr>
        <w:ind w:left="560" w:leftChars="0" w:firstLine="0" w:firstLineChars="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平行流动指经费来源性质相同的事业单位之间的人员调动；顺向流动指机关到事业单位，由公益一类流向公益二类事业单位。</w:t>
      </w:r>
    </w:p>
    <w:p>
      <w:pPr>
        <w:numPr>
          <w:ilvl w:val="0"/>
          <w:numId w:val="0"/>
        </w:numPr>
        <w:ind w:left="560" w:leftChars="0"/>
        <w:rPr>
          <w:rFonts w:hint="default"/>
          <w:b/>
          <w:bCs/>
          <w:sz w:val="28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CE8C"/>
    <w:multiLevelType w:val="singleLevel"/>
    <w:tmpl w:val="3437CE8C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5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69"/>
    <w:rsid w:val="0006275E"/>
    <w:rsid w:val="000761F8"/>
    <w:rsid w:val="00082F4F"/>
    <w:rsid w:val="000D11E6"/>
    <w:rsid w:val="00105CD2"/>
    <w:rsid w:val="002137FC"/>
    <w:rsid w:val="00262F63"/>
    <w:rsid w:val="002B230F"/>
    <w:rsid w:val="00305894"/>
    <w:rsid w:val="00307C0C"/>
    <w:rsid w:val="00324EF7"/>
    <w:rsid w:val="00376576"/>
    <w:rsid w:val="00376D1B"/>
    <w:rsid w:val="003D4500"/>
    <w:rsid w:val="003F59A5"/>
    <w:rsid w:val="004518BA"/>
    <w:rsid w:val="004A361A"/>
    <w:rsid w:val="00500D2B"/>
    <w:rsid w:val="0051231A"/>
    <w:rsid w:val="005514D7"/>
    <w:rsid w:val="00552833"/>
    <w:rsid w:val="0059712B"/>
    <w:rsid w:val="005F2147"/>
    <w:rsid w:val="006C0E93"/>
    <w:rsid w:val="006E0896"/>
    <w:rsid w:val="00727A37"/>
    <w:rsid w:val="00751AF4"/>
    <w:rsid w:val="007721B9"/>
    <w:rsid w:val="0079535C"/>
    <w:rsid w:val="007E51C0"/>
    <w:rsid w:val="00804416"/>
    <w:rsid w:val="0081724A"/>
    <w:rsid w:val="0083191F"/>
    <w:rsid w:val="008B7385"/>
    <w:rsid w:val="008C1DA6"/>
    <w:rsid w:val="0090342B"/>
    <w:rsid w:val="0091481F"/>
    <w:rsid w:val="00915861"/>
    <w:rsid w:val="009202BE"/>
    <w:rsid w:val="009228FE"/>
    <w:rsid w:val="009F30A8"/>
    <w:rsid w:val="00AB3921"/>
    <w:rsid w:val="00AE646A"/>
    <w:rsid w:val="00B07BC7"/>
    <w:rsid w:val="00B132C4"/>
    <w:rsid w:val="00B14115"/>
    <w:rsid w:val="00BA158C"/>
    <w:rsid w:val="00BA3F71"/>
    <w:rsid w:val="00BB7175"/>
    <w:rsid w:val="00CD3469"/>
    <w:rsid w:val="00CE0BE0"/>
    <w:rsid w:val="00D40565"/>
    <w:rsid w:val="00D67BB6"/>
    <w:rsid w:val="00D82EC7"/>
    <w:rsid w:val="00D83983"/>
    <w:rsid w:val="00DB5663"/>
    <w:rsid w:val="00E81794"/>
    <w:rsid w:val="00ED0B53"/>
    <w:rsid w:val="00ED5923"/>
    <w:rsid w:val="00ED59E0"/>
    <w:rsid w:val="00EF5421"/>
    <w:rsid w:val="00F31F9D"/>
    <w:rsid w:val="00F36634"/>
    <w:rsid w:val="00F611BC"/>
    <w:rsid w:val="00FF324E"/>
    <w:rsid w:val="10846CBB"/>
    <w:rsid w:val="136C48C6"/>
    <w:rsid w:val="2F49430B"/>
    <w:rsid w:val="43B217F3"/>
    <w:rsid w:val="51F64C8C"/>
    <w:rsid w:val="56A00CB6"/>
    <w:rsid w:val="579D34E5"/>
    <w:rsid w:val="74B7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165</Characters>
  <Lines>1</Lines>
  <Paragraphs>1</Paragraphs>
  <TotalTime>203</TotalTime>
  <ScaleCrop>false</ScaleCrop>
  <LinksUpToDate>false</LinksUpToDate>
  <CharactersWithSpaces>192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2017-10-11T08:46:00Z</dcterms:created>
  <dc:creator>邓涛</dc:creator>
  <cp:lastModifiedBy>POISED1368769583</cp:lastModifiedBy>
  <cp:lastPrinted>2019-07-08T11:19:00Z</cp:lastPrinted>
  <dcterms:modified xsi:type="dcterms:W3CDTF">2019-07-09T12:51:15Z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